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B729" w14:textId="77777777" w:rsidR="008930FD" w:rsidRPr="00D221C5" w:rsidRDefault="008930FD" w:rsidP="008930FD">
      <w:pPr>
        <w:jc w:val="center"/>
        <w:rPr>
          <w:rFonts w:cstheme="minorHAnsi"/>
          <w:b/>
          <w:sz w:val="40"/>
        </w:rPr>
      </w:pPr>
      <w:bookmarkStart w:id="0" w:name="_GoBack"/>
      <w:bookmarkEnd w:id="0"/>
      <w:r w:rsidRPr="00D221C5">
        <w:rPr>
          <w:rFonts w:cstheme="minorHAnsi"/>
          <w:b/>
          <w:sz w:val="40"/>
        </w:rPr>
        <w:t>Chart Review</w:t>
      </w:r>
    </w:p>
    <w:p w14:paraId="4CD55BC3" w14:textId="77777777" w:rsidR="008930FD" w:rsidRPr="00D221C5" w:rsidRDefault="008930FD" w:rsidP="008930FD">
      <w:pPr>
        <w:jc w:val="center"/>
        <w:rPr>
          <w:rFonts w:cstheme="minorHAnsi"/>
          <w:color w:val="7F7F7F" w:themeColor="text1" w:themeTint="80"/>
          <w:sz w:val="22"/>
        </w:rPr>
      </w:pPr>
      <w:r w:rsidRPr="00D221C5">
        <w:rPr>
          <w:rFonts w:cstheme="minorHAnsi"/>
          <w:color w:val="7F7F7F" w:themeColor="text1" w:themeTint="80"/>
          <w:sz w:val="22"/>
        </w:rPr>
        <w:t>Chart review is an audit process to assess the actual care delivered.</w:t>
      </w:r>
    </w:p>
    <w:p w14:paraId="302E26B3" w14:textId="77777777" w:rsidR="008930FD" w:rsidRPr="00D221C5" w:rsidRDefault="008930FD" w:rsidP="008930FD">
      <w:pPr>
        <w:rPr>
          <w:rFonts w:cstheme="minorHAnsi"/>
          <w:b/>
          <w:bCs/>
          <w:color w:val="7F7F7F" w:themeColor="text1" w:themeTint="80"/>
        </w:rPr>
      </w:pPr>
    </w:p>
    <w:p w14:paraId="758F7937" w14:textId="77777777" w:rsidR="008930FD" w:rsidRPr="00D221C5" w:rsidRDefault="008930FD" w:rsidP="008930FD">
      <w:pPr>
        <w:rPr>
          <w:rFonts w:cstheme="minorHAnsi"/>
          <w:b/>
        </w:rPr>
      </w:pPr>
      <w:r w:rsidRPr="00D221C5">
        <w:rPr>
          <w:rFonts w:cstheme="minorHAnsi"/>
          <w:b/>
        </w:rPr>
        <w:t>WHY</w:t>
      </w:r>
    </w:p>
    <w:p w14:paraId="1C2A2B2B" w14:textId="77777777" w:rsidR="008930FD" w:rsidRPr="00D221C5" w:rsidRDefault="008930FD" w:rsidP="008930FD">
      <w:pPr>
        <w:spacing w:after="120"/>
        <w:rPr>
          <w:rFonts w:cstheme="minorHAnsi"/>
        </w:rPr>
      </w:pPr>
      <w:r w:rsidRPr="00D221C5">
        <w:rPr>
          <w:rFonts w:cstheme="minorHAnsi"/>
        </w:rPr>
        <w:t>Chart review (or audit) provides a</w:t>
      </w:r>
      <w:r>
        <w:rPr>
          <w:rFonts w:cstheme="minorHAnsi"/>
        </w:rPr>
        <w:t>n</w:t>
      </w:r>
      <w:r w:rsidRPr="00D221C5">
        <w:rPr>
          <w:rFonts w:cstheme="minorHAnsi"/>
        </w:rPr>
        <w:t xml:space="preserve"> opportunity to assess</w:t>
      </w:r>
      <w:r>
        <w:rPr>
          <w:rFonts w:cstheme="minorHAnsi"/>
        </w:rPr>
        <w:t>, at a</w:t>
      </w:r>
      <w:r w:rsidRPr="00D221C5">
        <w:rPr>
          <w:rFonts w:cstheme="minorHAnsi"/>
        </w:rPr>
        <w:t xml:space="preserve"> granular level</w:t>
      </w:r>
      <w:r>
        <w:rPr>
          <w:rFonts w:cstheme="minorHAnsi"/>
        </w:rPr>
        <w:t>,</w:t>
      </w:r>
      <w:r w:rsidRPr="00D221C5">
        <w:rPr>
          <w:rFonts w:cstheme="minorHAnsi"/>
        </w:rPr>
        <w:t xml:space="preserve"> how the current processes are reflected in the actual care given to patients. Chart reviews are critical to the improvement process – to collect data, analyze data, and to make, assess, and sustain improvement efforts related to the patient care provided. </w:t>
      </w:r>
    </w:p>
    <w:p w14:paraId="18C6D196" w14:textId="77777777" w:rsidR="008930FD" w:rsidRPr="00D221C5" w:rsidRDefault="008930FD" w:rsidP="008930FD">
      <w:pPr>
        <w:rPr>
          <w:rFonts w:cstheme="minorHAnsi"/>
        </w:rPr>
      </w:pPr>
    </w:p>
    <w:p w14:paraId="1E632D7A" w14:textId="77777777" w:rsidR="008930FD" w:rsidRPr="00D221C5" w:rsidRDefault="008930FD" w:rsidP="008930FD">
      <w:pPr>
        <w:rPr>
          <w:rFonts w:cstheme="minorHAnsi"/>
          <w:b/>
        </w:rPr>
      </w:pPr>
      <w:r w:rsidRPr="00D221C5">
        <w:rPr>
          <w:rFonts w:cstheme="minorHAnsi"/>
          <w:b/>
        </w:rPr>
        <w:t>WHEN</w:t>
      </w:r>
    </w:p>
    <w:p w14:paraId="5DD46DD2" w14:textId="77777777" w:rsidR="008930FD" w:rsidRPr="00D221C5" w:rsidRDefault="008930FD" w:rsidP="008930FD">
      <w:pPr>
        <w:rPr>
          <w:rFonts w:cstheme="minorHAnsi"/>
        </w:rPr>
      </w:pPr>
      <w:r w:rsidRPr="00D221C5">
        <w:rPr>
          <w:rFonts w:cstheme="minorHAnsi"/>
        </w:rPr>
        <w:t xml:space="preserve">Throughout the </w:t>
      </w:r>
      <w:r>
        <w:rPr>
          <w:rFonts w:cstheme="minorHAnsi"/>
        </w:rPr>
        <w:t>DMAIC</w:t>
      </w:r>
      <w:r w:rsidRPr="00D221C5">
        <w:rPr>
          <w:rFonts w:cstheme="minorHAnsi"/>
        </w:rPr>
        <w:t xml:space="preserve"> process:</w:t>
      </w:r>
    </w:p>
    <w:p w14:paraId="3985FC96" w14:textId="77777777" w:rsidR="008930FD" w:rsidRPr="00D221C5" w:rsidRDefault="008930FD" w:rsidP="008930FD">
      <w:pPr>
        <w:pStyle w:val="ListParagraph"/>
        <w:numPr>
          <w:ilvl w:val="0"/>
          <w:numId w:val="6"/>
        </w:numPr>
        <w:rPr>
          <w:rFonts w:cstheme="minorHAnsi"/>
        </w:rPr>
      </w:pPr>
      <w:r w:rsidRPr="00D221C5">
        <w:rPr>
          <w:rFonts w:cstheme="minorHAnsi"/>
        </w:rPr>
        <w:t>DEFINE/MEASURE - Initially, at the time of process mapping or before, to assess the baseline state of patient care</w:t>
      </w:r>
    </w:p>
    <w:p w14:paraId="6437E486" w14:textId="77777777" w:rsidR="008930FD" w:rsidRPr="00D221C5" w:rsidRDefault="008930FD" w:rsidP="008930FD">
      <w:pPr>
        <w:pStyle w:val="ListParagraph"/>
        <w:numPr>
          <w:ilvl w:val="0"/>
          <w:numId w:val="6"/>
        </w:numPr>
        <w:rPr>
          <w:rFonts w:cstheme="minorHAnsi"/>
        </w:rPr>
      </w:pPr>
      <w:r w:rsidRPr="00D221C5">
        <w:rPr>
          <w:rFonts w:cstheme="minorHAnsi"/>
        </w:rPr>
        <w:t xml:space="preserve">ANALYZE – to </w:t>
      </w:r>
      <w:r>
        <w:rPr>
          <w:rFonts w:cstheme="minorHAnsi"/>
        </w:rPr>
        <w:t xml:space="preserve">identify </w:t>
      </w:r>
      <w:r w:rsidRPr="00D221C5">
        <w:rPr>
          <w:rFonts w:cstheme="minorHAnsi"/>
        </w:rPr>
        <w:t>the defects in patient care</w:t>
      </w:r>
    </w:p>
    <w:p w14:paraId="4F46E74F" w14:textId="77777777" w:rsidR="008930FD" w:rsidRPr="00D221C5" w:rsidRDefault="008930FD" w:rsidP="008930FD">
      <w:pPr>
        <w:pStyle w:val="ListParagraph"/>
        <w:numPr>
          <w:ilvl w:val="0"/>
          <w:numId w:val="6"/>
        </w:numPr>
        <w:rPr>
          <w:rFonts w:cstheme="minorHAnsi"/>
        </w:rPr>
      </w:pPr>
      <w:r w:rsidRPr="00D221C5">
        <w:rPr>
          <w:rFonts w:cstheme="minorHAnsi"/>
        </w:rPr>
        <w:t xml:space="preserve">IMPROVE – </w:t>
      </w:r>
      <w:r>
        <w:rPr>
          <w:rFonts w:cstheme="minorHAnsi"/>
        </w:rPr>
        <w:t xml:space="preserve">to </w:t>
      </w:r>
      <w:r w:rsidRPr="00D221C5">
        <w:rPr>
          <w:rFonts w:cstheme="minorHAnsi"/>
        </w:rPr>
        <w:t xml:space="preserve">periodically track the results of the tests of change </w:t>
      </w:r>
      <w:r>
        <w:rPr>
          <w:rFonts w:cstheme="minorHAnsi"/>
        </w:rPr>
        <w:t xml:space="preserve">(i.e., </w:t>
      </w:r>
      <w:r w:rsidRPr="00D221C5">
        <w:rPr>
          <w:rFonts w:cstheme="minorHAnsi"/>
        </w:rPr>
        <w:t>improvements</w:t>
      </w:r>
      <w:r>
        <w:rPr>
          <w:rFonts w:cstheme="minorHAnsi"/>
        </w:rPr>
        <w:t>)</w:t>
      </w:r>
      <w:r w:rsidRPr="00D221C5">
        <w:rPr>
          <w:rFonts w:cstheme="minorHAnsi"/>
        </w:rPr>
        <w:t xml:space="preserve"> and make </w:t>
      </w:r>
      <w:r>
        <w:rPr>
          <w:rFonts w:cstheme="minorHAnsi"/>
        </w:rPr>
        <w:t xml:space="preserve">necessary </w:t>
      </w:r>
      <w:r w:rsidRPr="00D221C5">
        <w:rPr>
          <w:rFonts w:cstheme="minorHAnsi"/>
        </w:rPr>
        <w:t xml:space="preserve">adjustments to meet </w:t>
      </w:r>
      <w:r>
        <w:rPr>
          <w:rFonts w:cstheme="minorHAnsi"/>
        </w:rPr>
        <w:t xml:space="preserve">the </w:t>
      </w:r>
      <w:r w:rsidRPr="00D221C5">
        <w:rPr>
          <w:rFonts w:cstheme="minorHAnsi"/>
        </w:rPr>
        <w:t>aim</w:t>
      </w:r>
    </w:p>
    <w:p w14:paraId="6E249A7D" w14:textId="77777777" w:rsidR="008930FD" w:rsidRPr="00D221C5" w:rsidRDefault="008930FD" w:rsidP="008930FD">
      <w:pPr>
        <w:pStyle w:val="ListParagraph"/>
        <w:numPr>
          <w:ilvl w:val="0"/>
          <w:numId w:val="6"/>
        </w:numPr>
        <w:rPr>
          <w:rFonts w:cstheme="minorHAnsi"/>
        </w:rPr>
      </w:pPr>
      <w:r w:rsidRPr="00D221C5">
        <w:rPr>
          <w:rFonts w:cstheme="minorHAnsi"/>
        </w:rPr>
        <w:t>CONTROL – Ongoing auditing to assure sustenance of the improvements in patient care</w:t>
      </w:r>
    </w:p>
    <w:p w14:paraId="0D47909E" w14:textId="77777777" w:rsidR="008930FD" w:rsidRPr="00D221C5" w:rsidRDefault="008930FD" w:rsidP="008930FD">
      <w:pPr>
        <w:rPr>
          <w:rFonts w:cstheme="minorHAnsi"/>
        </w:rPr>
      </w:pPr>
    </w:p>
    <w:p w14:paraId="0D83C3C2" w14:textId="77777777" w:rsidR="008930FD" w:rsidRPr="00D221C5" w:rsidRDefault="008930FD" w:rsidP="008930FD">
      <w:pPr>
        <w:rPr>
          <w:rFonts w:cstheme="minorHAnsi"/>
          <w:b/>
        </w:rPr>
      </w:pPr>
      <w:r w:rsidRPr="00D221C5">
        <w:rPr>
          <w:rFonts w:cstheme="minorHAnsi"/>
          <w:b/>
        </w:rPr>
        <w:t>HOW TO</w:t>
      </w:r>
    </w:p>
    <w:p w14:paraId="12F9B276" w14:textId="77777777" w:rsidR="008930FD" w:rsidRPr="00D221C5" w:rsidRDefault="008930FD" w:rsidP="008930FD">
      <w:pPr>
        <w:pStyle w:val="ListParagraph"/>
        <w:numPr>
          <w:ilvl w:val="0"/>
          <w:numId w:val="3"/>
        </w:numPr>
        <w:rPr>
          <w:rFonts w:cstheme="minorHAnsi"/>
        </w:rPr>
      </w:pPr>
      <w:r w:rsidRPr="00D221C5">
        <w:rPr>
          <w:rFonts w:cstheme="minorHAnsi"/>
        </w:rPr>
        <w:t xml:space="preserve">Select the patient care process and the patient population that will be evaluated </w:t>
      </w:r>
    </w:p>
    <w:p w14:paraId="10400933" w14:textId="77777777" w:rsidR="008930FD" w:rsidRPr="00D221C5" w:rsidRDefault="008930FD" w:rsidP="008930FD">
      <w:pPr>
        <w:pStyle w:val="ListParagraph"/>
        <w:numPr>
          <w:ilvl w:val="0"/>
          <w:numId w:val="3"/>
        </w:numPr>
        <w:rPr>
          <w:rFonts w:cstheme="minorHAnsi"/>
        </w:rPr>
      </w:pPr>
      <w:r w:rsidRPr="00D221C5">
        <w:rPr>
          <w:rFonts w:cstheme="minorHAnsi"/>
        </w:rPr>
        <w:t>Select the charts for review</w:t>
      </w:r>
    </w:p>
    <w:p w14:paraId="03ADA314" w14:textId="77777777" w:rsidR="008930FD" w:rsidRPr="00D221C5" w:rsidRDefault="008930FD" w:rsidP="008930FD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For </w:t>
      </w:r>
      <w:r w:rsidRPr="00D221C5">
        <w:rPr>
          <w:rFonts w:cstheme="minorHAnsi"/>
        </w:rPr>
        <w:t>a research project, statistical methods will be required for chart selection</w:t>
      </w:r>
    </w:p>
    <w:p w14:paraId="3755D690" w14:textId="77777777" w:rsidR="008930FD" w:rsidRPr="00D221C5" w:rsidRDefault="008930FD" w:rsidP="008930FD">
      <w:pPr>
        <w:pStyle w:val="ListParagraph"/>
        <w:numPr>
          <w:ilvl w:val="1"/>
          <w:numId w:val="7"/>
        </w:numPr>
        <w:rPr>
          <w:rFonts w:cstheme="minorHAnsi"/>
        </w:rPr>
      </w:pPr>
      <w:r w:rsidRPr="00D221C5">
        <w:rPr>
          <w:rFonts w:cstheme="minorHAnsi"/>
        </w:rPr>
        <w:t>For a proper baseline data, select at least 25 charts for review</w:t>
      </w:r>
    </w:p>
    <w:p w14:paraId="731510CD" w14:textId="77777777" w:rsidR="008930FD" w:rsidRPr="00A81B21" w:rsidRDefault="008930FD" w:rsidP="008930FD">
      <w:pPr>
        <w:pStyle w:val="ListParagraph"/>
        <w:numPr>
          <w:ilvl w:val="1"/>
          <w:numId w:val="7"/>
        </w:numPr>
        <w:rPr>
          <w:rFonts w:cstheme="minorHAnsi"/>
        </w:rPr>
      </w:pPr>
      <w:r w:rsidRPr="00D221C5">
        <w:rPr>
          <w:rFonts w:cstheme="minorHAnsi"/>
        </w:rPr>
        <w:t xml:space="preserve">For improvement purposes, reviewing 5 charts prior to or during the process mapping will provide initial information </w:t>
      </w:r>
      <w:r>
        <w:rPr>
          <w:rFonts w:cstheme="minorHAnsi"/>
        </w:rPr>
        <w:t xml:space="preserve">to </w:t>
      </w:r>
      <w:r w:rsidRPr="00D221C5">
        <w:rPr>
          <w:rFonts w:cstheme="minorHAnsi"/>
        </w:rPr>
        <w:t>guide improvement efforts</w:t>
      </w:r>
      <w:r>
        <w:rPr>
          <w:rFonts w:cstheme="minorHAnsi"/>
        </w:rPr>
        <w:t xml:space="preserve"> and help </w:t>
      </w:r>
      <w:r w:rsidRPr="00D221C5">
        <w:rPr>
          <w:rFonts w:cstheme="minorHAnsi"/>
        </w:rPr>
        <w:t xml:space="preserve">process mapping participants </w:t>
      </w:r>
      <w:r>
        <w:rPr>
          <w:rFonts w:cstheme="minorHAnsi"/>
        </w:rPr>
        <w:t xml:space="preserve">gain </w:t>
      </w:r>
      <w:r w:rsidRPr="00D221C5">
        <w:rPr>
          <w:rFonts w:cstheme="minorHAnsi"/>
        </w:rPr>
        <w:t>insights into how the process is working</w:t>
      </w:r>
      <w:r>
        <w:rPr>
          <w:rFonts w:cstheme="minorHAnsi"/>
        </w:rPr>
        <w:t>.</w:t>
      </w:r>
      <w:r w:rsidRPr="00A81B21">
        <w:rPr>
          <w:rFonts w:cstheme="minorHAnsi"/>
        </w:rPr>
        <w:t xml:space="preserve"> </w:t>
      </w:r>
      <w:r w:rsidRPr="00D221C5">
        <w:rPr>
          <w:rFonts w:cstheme="minorHAnsi"/>
        </w:rPr>
        <w:t xml:space="preserve">This is part of the “ah-ha” moment in process mapping when participants use data to evaluate the process </w:t>
      </w:r>
      <w:r>
        <w:rPr>
          <w:rFonts w:cstheme="minorHAnsi"/>
        </w:rPr>
        <w:t xml:space="preserve">rather than </w:t>
      </w:r>
      <w:r w:rsidRPr="00D221C5">
        <w:rPr>
          <w:rFonts w:cstheme="minorHAnsi"/>
        </w:rPr>
        <w:t>“feelings</w:t>
      </w:r>
      <w:r>
        <w:rPr>
          <w:rFonts w:cstheme="minorHAnsi"/>
        </w:rPr>
        <w:t>.”</w:t>
      </w:r>
    </w:p>
    <w:p w14:paraId="0A32750C" w14:textId="77777777" w:rsidR="008930FD" w:rsidRDefault="008930FD" w:rsidP="008930FD">
      <w:pPr>
        <w:pStyle w:val="ListParagraph"/>
        <w:numPr>
          <w:ilvl w:val="2"/>
          <w:numId w:val="8"/>
        </w:numPr>
        <w:ind w:hanging="270"/>
        <w:rPr>
          <w:rFonts w:cstheme="minorHAnsi"/>
        </w:rPr>
      </w:pPr>
      <w:r w:rsidRPr="00D221C5">
        <w:rPr>
          <w:rFonts w:cstheme="minorHAnsi"/>
        </w:rPr>
        <w:t>Select the last 5 charts, or a random sample from the last 6 months</w:t>
      </w:r>
    </w:p>
    <w:p w14:paraId="4CC1087A" w14:textId="77777777" w:rsidR="008930FD" w:rsidRPr="00D221C5" w:rsidRDefault="008930FD" w:rsidP="008930FD">
      <w:pPr>
        <w:pStyle w:val="ListParagraph"/>
        <w:numPr>
          <w:ilvl w:val="2"/>
          <w:numId w:val="8"/>
        </w:numPr>
        <w:ind w:hanging="270"/>
        <w:rPr>
          <w:rFonts w:cstheme="minorHAnsi"/>
        </w:rPr>
      </w:pPr>
      <w:r w:rsidRPr="00D221C5">
        <w:rPr>
          <w:rFonts w:cstheme="minorHAnsi"/>
        </w:rPr>
        <w:t xml:space="preserve">See </w:t>
      </w:r>
      <w:r w:rsidRPr="00C34C30">
        <w:rPr>
          <w:rFonts w:cstheme="minorHAnsi"/>
          <w:b/>
        </w:rPr>
        <w:t>Tips</w:t>
      </w:r>
      <w:r w:rsidRPr="00D221C5">
        <w:rPr>
          <w:rFonts w:cstheme="minorHAnsi"/>
        </w:rPr>
        <w:t xml:space="preserve"> below</w:t>
      </w:r>
    </w:p>
    <w:p w14:paraId="246F163A" w14:textId="77777777" w:rsidR="008930FD" w:rsidRDefault="008930FD" w:rsidP="008930FD">
      <w:pPr>
        <w:pStyle w:val="ListParagraph"/>
        <w:numPr>
          <w:ilvl w:val="0"/>
          <w:numId w:val="3"/>
        </w:numPr>
        <w:rPr>
          <w:rFonts w:cstheme="minorHAnsi"/>
        </w:rPr>
      </w:pPr>
      <w:r w:rsidRPr="00D221C5">
        <w:rPr>
          <w:rFonts w:cstheme="minorHAnsi"/>
        </w:rPr>
        <w:t xml:space="preserve">Create a data collection template. Include the key </w:t>
      </w:r>
      <w:r>
        <w:rPr>
          <w:rFonts w:cstheme="minorHAnsi"/>
        </w:rPr>
        <w:t>steps</w:t>
      </w:r>
      <w:r w:rsidRPr="00D221C5">
        <w:rPr>
          <w:rFonts w:cstheme="minorHAnsi"/>
        </w:rPr>
        <w:t xml:space="preserve"> in the process to be assessed. </w:t>
      </w:r>
    </w:p>
    <w:p w14:paraId="54B463BE" w14:textId="77777777" w:rsidR="008930FD" w:rsidRPr="00D221C5" w:rsidRDefault="008930FD" w:rsidP="008930FD">
      <w:pPr>
        <w:pStyle w:val="ListParagraph"/>
        <w:numPr>
          <w:ilvl w:val="1"/>
          <w:numId w:val="3"/>
        </w:numPr>
        <w:rPr>
          <w:rFonts w:cstheme="minorHAnsi"/>
        </w:rPr>
      </w:pPr>
      <w:r w:rsidRPr="00D221C5">
        <w:rPr>
          <w:rFonts w:cstheme="minorHAnsi"/>
        </w:rPr>
        <w:t xml:space="preserve">For HIV Viral Load Cascade, the country algorithm is an excellent resource to define the requirements </w:t>
      </w:r>
      <w:r>
        <w:rPr>
          <w:rFonts w:cstheme="minorHAnsi"/>
        </w:rPr>
        <w:t xml:space="preserve">and </w:t>
      </w:r>
      <w:r w:rsidRPr="00D221C5">
        <w:rPr>
          <w:rFonts w:cstheme="minorHAnsi"/>
        </w:rPr>
        <w:t>criteria for expected level of care</w:t>
      </w:r>
      <w:r>
        <w:rPr>
          <w:rFonts w:cstheme="minorHAnsi"/>
        </w:rPr>
        <w:t>.</w:t>
      </w:r>
    </w:p>
    <w:p w14:paraId="27636477" w14:textId="77777777" w:rsidR="008930FD" w:rsidRDefault="008930FD" w:rsidP="008930FD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 template for evaluating </w:t>
      </w:r>
      <w:r w:rsidRPr="00D221C5">
        <w:rPr>
          <w:rFonts w:cstheme="minorHAnsi"/>
        </w:rPr>
        <w:t>HIV Viral Load Cascade</w:t>
      </w:r>
      <w:r>
        <w:rPr>
          <w:rFonts w:cstheme="minorHAnsi"/>
        </w:rPr>
        <w:t xml:space="preserve"> is provided.</w:t>
      </w:r>
    </w:p>
    <w:p w14:paraId="2B11E70C" w14:textId="77777777" w:rsidR="008930FD" w:rsidRPr="00D221C5" w:rsidRDefault="008930FD" w:rsidP="008930FD">
      <w:pPr>
        <w:pStyle w:val="ListParagraph"/>
        <w:numPr>
          <w:ilvl w:val="0"/>
          <w:numId w:val="3"/>
        </w:numPr>
        <w:rPr>
          <w:rFonts w:cstheme="minorHAnsi"/>
        </w:rPr>
      </w:pPr>
      <w:r w:rsidRPr="00D221C5">
        <w:rPr>
          <w:rFonts w:cstheme="minorHAnsi"/>
        </w:rPr>
        <w:t xml:space="preserve">Review charts, </w:t>
      </w:r>
      <w:r>
        <w:rPr>
          <w:rFonts w:cstheme="minorHAnsi"/>
        </w:rPr>
        <w:t xml:space="preserve">while populating </w:t>
      </w:r>
      <w:r w:rsidRPr="00D221C5">
        <w:rPr>
          <w:rFonts w:cstheme="minorHAnsi"/>
        </w:rPr>
        <w:t xml:space="preserve">the </w:t>
      </w:r>
      <w:r>
        <w:rPr>
          <w:rFonts w:cstheme="minorHAnsi"/>
        </w:rPr>
        <w:t xml:space="preserve">data collection </w:t>
      </w:r>
      <w:r w:rsidRPr="00D221C5">
        <w:rPr>
          <w:rFonts w:cstheme="minorHAnsi"/>
        </w:rPr>
        <w:t>template.</w:t>
      </w:r>
    </w:p>
    <w:p w14:paraId="68D98B94" w14:textId="77777777" w:rsidR="008930FD" w:rsidRPr="00D221C5" w:rsidRDefault="008930FD" w:rsidP="008930FD">
      <w:pPr>
        <w:pStyle w:val="ListParagraph"/>
        <w:numPr>
          <w:ilvl w:val="0"/>
          <w:numId w:val="3"/>
        </w:numPr>
        <w:rPr>
          <w:rFonts w:cstheme="minorHAnsi"/>
        </w:rPr>
      </w:pPr>
      <w:r w:rsidRPr="00D221C5">
        <w:rPr>
          <w:rFonts w:cstheme="minorHAnsi"/>
        </w:rPr>
        <w:t>Collate data</w:t>
      </w:r>
    </w:p>
    <w:p w14:paraId="7CCC8CE5" w14:textId="77777777" w:rsidR="008930FD" w:rsidRDefault="008930FD" w:rsidP="008930FD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D221C5">
        <w:rPr>
          <w:rFonts w:cstheme="minorHAnsi"/>
        </w:rPr>
        <w:t xml:space="preserve">Analyze data </w:t>
      </w:r>
      <w:r>
        <w:rPr>
          <w:rFonts w:cstheme="minorHAnsi"/>
        </w:rPr>
        <w:t>– There are two possible metrics.</w:t>
      </w:r>
    </w:p>
    <w:tbl>
      <w:tblPr>
        <w:tblStyle w:val="PlainTable1"/>
        <w:tblW w:w="8208" w:type="dxa"/>
        <w:jc w:val="center"/>
        <w:tblLook w:val="04A0" w:firstRow="1" w:lastRow="0" w:firstColumn="1" w:lastColumn="0" w:noHBand="0" w:noVBand="1"/>
      </w:tblPr>
      <w:tblGrid>
        <w:gridCol w:w="3685"/>
        <w:gridCol w:w="4523"/>
      </w:tblGrid>
      <w:tr w:rsidR="008930FD" w14:paraId="484EAD07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E462F1E" w14:textId="77777777" w:rsidR="008930FD" w:rsidRPr="00FE4C4D" w:rsidRDefault="008930FD" w:rsidP="00BA3BDC">
            <w:pPr>
              <w:rPr>
                <w:rFonts w:cstheme="minorHAnsi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sz w:val="20"/>
                <w:szCs w:val="20"/>
              </w:rPr>
              <w:t xml:space="preserve">Numerator: </w:t>
            </w:r>
          </w:p>
          <w:p w14:paraId="758A6A89" w14:textId="77777777" w:rsidR="008930FD" w:rsidRPr="00FE4C4D" w:rsidRDefault="008930FD" w:rsidP="00BA3BDC">
            <w:pPr>
              <w:rPr>
                <w:rFonts w:cstheme="minorHAnsi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b w:val="0"/>
                <w:sz w:val="20"/>
                <w:szCs w:val="20"/>
              </w:rPr>
              <w:t># patients that met expected level of care</w:t>
            </w:r>
          </w:p>
          <w:p w14:paraId="5A260566" w14:textId="77777777" w:rsidR="008930FD" w:rsidRPr="00FE4C4D" w:rsidRDefault="008930FD" w:rsidP="00BA3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sz w:val="20"/>
                <w:szCs w:val="20"/>
              </w:rPr>
              <w:t>Denominator</w:t>
            </w:r>
            <w:r w:rsidRPr="00FE4C4D">
              <w:rPr>
                <w:rFonts w:cstheme="minorHAnsi"/>
                <w:b w:val="0"/>
                <w:sz w:val="20"/>
                <w:szCs w:val="20"/>
              </w:rPr>
              <w:t xml:space="preserve">: </w:t>
            </w:r>
          </w:p>
          <w:p w14:paraId="7FAA0F2A" w14:textId="77777777" w:rsidR="008930FD" w:rsidRPr="00FE4C4D" w:rsidRDefault="008930FD" w:rsidP="00BA3BDC">
            <w:pPr>
              <w:rPr>
                <w:rFonts w:cstheme="minorHAnsi"/>
                <w:b w:val="0"/>
                <w:sz w:val="20"/>
                <w:szCs w:val="20"/>
              </w:rPr>
            </w:pPr>
            <w:r w:rsidRPr="00FE4C4D">
              <w:rPr>
                <w:rFonts w:cstheme="minorHAnsi"/>
                <w:b w:val="0"/>
                <w:sz w:val="20"/>
                <w:szCs w:val="20"/>
              </w:rPr>
              <w:t>Total number of patients</w:t>
            </w:r>
          </w:p>
        </w:tc>
        <w:tc>
          <w:tcPr>
            <w:tcW w:w="4523" w:type="dxa"/>
          </w:tcPr>
          <w:p w14:paraId="3A14BACA" w14:textId="77777777" w:rsidR="008930FD" w:rsidRPr="00FE4C4D" w:rsidRDefault="008930FD" w:rsidP="00BA3B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b w:val="0"/>
                <w:sz w:val="20"/>
                <w:szCs w:val="20"/>
              </w:rPr>
              <w:t xml:space="preserve">This metric </w:t>
            </w:r>
            <w:r>
              <w:rPr>
                <w:rFonts w:cstheme="minorHAnsi"/>
                <w:b w:val="0"/>
                <w:sz w:val="20"/>
                <w:szCs w:val="20"/>
              </w:rPr>
              <w:t>evaluates how</w:t>
            </w:r>
            <w:r w:rsidRPr="00FE4C4D">
              <w:rPr>
                <w:rFonts w:cstheme="minorHAnsi"/>
                <w:b w:val="0"/>
                <w:sz w:val="20"/>
                <w:szCs w:val="20"/>
              </w:rPr>
              <w:t xml:space="preserve"> many patients received all the appropriate care as prescribed by the country algorithm. This metric assesses whether the entire algorithm was followed or not.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(See example)</w:t>
            </w:r>
          </w:p>
        </w:tc>
      </w:tr>
      <w:tr w:rsidR="008930FD" w14:paraId="3D939E50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0D50B0A0" w14:textId="77777777" w:rsidR="008930FD" w:rsidRPr="00FE4C4D" w:rsidRDefault="008930FD" w:rsidP="00BA3BDC">
            <w:pPr>
              <w:rPr>
                <w:rFonts w:cstheme="minorHAnsi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sz w:val="20"/>
                <w:szCs w:val="20"/>
              </w:rPr>
              <w:t xml:space="preserve">Numerator: </w:t>
            </w:r>
          </w:p>
          <w:p w14:paraId="6B949DC0" w14:textId="77777777" w:rsidR="008930FD" w:rsidRPr="00FE4C4D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FE4C4D">
              <w:rPr>
                <w:rFonts w:cstheme="minorHAnsi"/>
                <w:b w:val="0"/>
                <w:bCs w:val="0"/>
                <w:sz w:val="20"/>
                <w:szCs w:val="20"/>
              </w:rPr>
              <w:t># of Patients that met Parameter “X”</w:t>
            </w:r>
          </w:p>
          <w:p w14:paraId="3F74AE5C" w14:textId="77777777" w:rsidR="008930FD" w:rsidRPr="00FE4C4D" w:rsidRDefault="008930FD" w:rsidP="00BA3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sz w:val="20"/>
                <w:szCs w:val="20"/>
              </w:rPr>
              <w:t>Denominator</w:t>
            </w:r>
            <w:r w:rsidRPr="00FE4C4D">
              <w:rPr>
                <w:rFonts w:cstheme="minorHAnsi"/>
                <w:b w:val="0"/>
                <w:sz w:val="20"/>
                <w:szCs w:val="20"/>
              </w:rPr>
              <w:t xml:space="preserve">: </w:t>
            </w:r>
          </w:p>
          <w:p w14:paraId="7A51D091" w14:textId="77777777" w:rsidR="008930FD" w:rsidRPr="00FE4C4D" w:rsidRDefault="008930FD" w:rsidP="00BA3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E4C4D">
              <w:rPr>
                <w:rFonts w:cstheme="minorHAnsi"/>
                <w:b w:val="0"/>
                <w:bCs w:val="0"/>
                <w:sz w:val="20"/>
                <w:szCs w:val="20"/>
              </w:rPr>
              <w:t>Total number of patients</w:t>
            </w:r>
          </w:p>
        </w:tc>
        <w:tc>
          <w:tcPr>
            <w:tcW w:w="4523" w:type="dxa"/>
            <w:shd w:val="clear" w:color="auto" w:fill="auto"/>
          </w:tcPr>
          <w:p w14:paraId="2FBB4004" w14:textId="77777777" w:rsidR="008930FD" w:rsidRPr="00FE4C4D" w:rsidRDefault="008930FD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</w:rPr>
            </w:pPr>
            <w:r w:rsidRPr="00FE4C4D">
              <w:rPr>
                <w:sz w:val="20"/>
              </w:rPr>
              <w:t>This metric look</w:t>
            </w:r>
            <w:r>
              <w:rPr>
                <w:sz w:val="20"/>
              </w:rPr>
              <w:t>s</w:t>
            </w:r>
            <w:r w:rsidRPr="00FE4C4D">
              <w:rPr>
                <w:sz w:val="20"/>
              </w:rPr>
              <w:t xml:space="preserve"> at </w:t>
            </w:r>
            <w:r>
              <w:rPr>
                <w:sz w:val="20"/>
              </w:rPr>
              <w:t>individual components in the algorithm (</w:t>
            </w:r>
            <w:r w:rsidRPr="00FE4C4D">
              <w:rPr>
                <w:sz w:val="20"/>
              </w:rPr>
              <w:t xml:space="preserve">i.e. 85% of patients did not receive an </w:t>
            </w:r>
            <w:r w:rsidRPr="00C34C30">
              <w:rPr>
                <w:b/>
                <w:i/>
                <w:sz w:val="20"/>
              </w:rPr>
              <w:t>Enhanced Adherence Counseling</w:t>
            </w:r>
            <w:r w:rsidRPr="00FE4C4D">
              <w:rPr>
                <w:sz w:val="20"/>
              </w:rPr>
              <w:t xml:space="preserve"> Session within the specified </w:t>
            </w:r>
            <w:r>
              <w:rPr>
                <w:sz w:val="20"/>
              </w:rPr>
              <w:t>timeframe). Consider using Pareto Chart to prioritize gaps.</w:t>
            </w:r>
          </w:p>
        </w:tc>
      </w:tr>
    </w:tbl>
    <w:p w14:paraId="632D3A21" w14:textId="77777777" w:rsidR="008930FD" w:rsidRDefault="008930FD" w:rsidP="008930FD"/>
    <w:p w14:paraId="591BE060" w14:textId="77777777" w:rsidR="008930FD" w:rsidRDefault="008930FD">
      <w:pPr>
        <w:spacing w:after="160" w:line="259" w:lineRule="auto"/>
      </w:pPr>
      <w:r>
        <w:br w:type="page"/>
      </w:r>
    </w:p>
    <w:p w14:paraId="1D7B9B4B" w14:textId="77777777" w:rsidR="008930FD" w:rsidRDefault="008930FD" w:rsidP="008930FD"/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8930FD" w14:paraId="754CA79E" w14:textId="77777777" w:rsidTr="00BA3BDC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2A014C9C" w14:textId="77777777" w:rsidR="008930FD" w:rsidRPr="003B2BDF" w:rsidRDefault="008930FD" w:rsidP="00BA3BDC">
            <w:pPr>
              <w:rPr>
                <w:b/>
              </w:rPr>
            </w:pPr>
            <w:r w:rsidRPr="003B2BDF">
              <w:rPr>
                <w:b/>
              </w:rPr>
              <w:t>TIPS</w:t>
            </w:r>
          </w:p>
          <w:p w14:paraId="0EE4D7A3" w14:textId="77777777" w:rsidR="008930FD" w:rsidRDefault="008930FD" w:rsidP="00BA3BDC">
            <w:pPr>
              <w:rPr>
                <w:rFonts w:cstheme="minorHAnsi"/>
              </w:rPr>
            </w:pPr>
            <w:r w:rsidRPr="00D221C5">
              <w:rPr>
                <w:rFonts w:cstheme="minorHAnsi"/>
              </w:rPr>
              <w:t xml:space="preserve">When using Chart Review as part of a process mapping exercise, pre-planning is required to ensure an efficient and </w:t>
            </w:r>
            <w:r>
              <w:rPr>
                <w:rFonts w:cstheme="minorHAnsi"/>
              </w:rPr>
              <w:t xml:space="preserve">effective </w:t>
            </w:r>
            <w:r w:rsidRPr="00D221C5">
              <w:rPr>
                <w:rFonts w:cstheme="minorHAnsi"/>
              </w:rPr>
              <w:t xml:space="preserve">chart review. Two options are </w:t>
            </w:r>
            <w:r>
              <w:rPr>
                <w:rFonts w:cstheme="minorHAnsi"/>
              </w:rPr>
              <w:t xml:space="preserve">available (below) </w:t>
            </w:r>
            <w:r w:rsidRPr="00D221C5">
              <w:rPr>
                <w:rFonts w:cstheme="minorHAnsi"/>
              </w:rPr>
              <w:t>depending on the time available and the number and expertise of the participants. The following suggestions may be helpful in facilitation of the desired “ah</w:t>
            </w:r>
            <w:r>
              <w:rPr>
                <w:rFonts w:cstheme="minorHAnsi"/>
              </w:rPr>
              <w:t>-</w:t>
            </w:r>
            <w:r w:rsidRPr="00D221C5">
              <w:rPr>
                <w:rFonts w:cstheme="minorHAnsi"/>
              </w:rPr>
              <w:t>ha” moment</w:t>
            </w:r>
            <w:r>
              <w:rPr>
                <w:rFonts w:cstheme="minorHAnsi"/>
              </w:rPr>
              <w:t>.</w:t>
            </w:r>
          </w:p>
          <w:p w14:paraId="7C314F52" w14:textId="77777777" w:rsidR="008930FD" w:rsidRDefault="008930FD" w:rsidP="00BA3BDC"/>
          <w:tbl>
            <w:tblPr>
              <w:tblStyle w:val="TableGrid"/>
              <w:tblW w:w="6768" w:type="dxa"/>
              <w:jc w:val="center"/>
              <w:tblLook w:val="04A0" w:firstRow="1" w:lastRow="0" w:firstColumn="1" w:lastColumn="0" w:noHBand="0" w:noVBand="1"/>
            </w:tblPr>
            <w:tblGrid>
              <w:gridCol w:w="3545"/>
              <w:gridCol w:w="3223"/>
            </w:tblGrid>
            <w:tr w:rsidR="008930FD" w:rsidRPr="00FE4C4D" w14:paraId="1ABCAD5C" w14:textId="77777777" w:rsidTr="00BA3BDC">
              <w:trPr>
                <w:jc w:val="center"/>
              </w:trPr>
              <w:tc>
                <w:tcPr>
                  <w:tcW w:w="4675" w:type="dxa"/>
                </w:tcPr>
                <w:p w14:paraId="0ABCE518" w14:textId="77777777" w:rsidR="008930FD" w:rsidRPr="00FE4C4D" w:rsidRDefault="008930FD" w:rsidP="00BA3BDC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b/>
                      <w:sz w:val="20"/>
                      <w:szCs w:val="20"/>
                    </w:rPr>
                    <w:t>Group Chart Review</w:t>
                  </w:r>
                </w:p>
                <w:p w14:paraId="0BAD7734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 xml:space="preserve">Completed as </w:t>
                  </w:r>
                  <w:r w:rsidRPr="00FE4C4D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part of</w:t>
                  </w:r>
                  <w:r w:rsidRPr="00FE4C4D">
                    <w:rPr>
                      <w:rFonts w:cstheme="minorHAnsi"/>
                      <w:sz w:val="20"/>
                      <w:szCs w:val="20"/>
                    </w:rPr>
                    <w:t xml:space="preserve"> the 2-Day on-site Smart Start Session &amp; Process Mapping exercise</w:t>
                  </w:r>
                </w:p>
              </w:tc>
              <w:tc>
                <w:tcPr>
                  <w:tcW w:w="4675" w:type="dxa"/>
                </w:tcPr>
                <w:p w14:paraId="18C2C32F" w14:textId="77777777" w:rsidR="008930FD" w:rsidRPr="00FE4C4D" w:rsidRDefault="008930FD" w:rsidP="00BA3BDC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b/>
                      <w:sz w:val="20"/>
                      <w:szCs w:val="20"/>
                    </w:rPr>
                    <w:t>Prior Chart Review</w:t>
                  </w:r>
                </w:p>
                <w:p w14:paraId="02C6ABE2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 xml:space="preserve">Completed </w:t>
                  </w:r>
                  <w:r w:rsidRPr="00FE4C4D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prior to</w:t>
                  </w:r>
                  <w:r w:rsidRPr="00FE4C4D">
                    <w:rPr>
                      <w:rFonts w:cstheme="minorHAnsi"/>
                      <w:sz w:val="20"/>
                      <w:szCs w:val="20"/>
                    </w:rPr>
                    <w:t xml:space="preserve"> the 2-Day on-site Smart Start Session &amp; Process Mapping exercise</w:t>
                  </w:r>
                </w:p>
              </w:tc>
            </w:tr>
            <w:tr w:rsidR="008930FD" w:rsidRPr="00FE4C4D" w14:paraId="518A38E5" w14:textId="77777777" w:rsidTr="00BA3BDC">
              <w:trPr>
                <w:jc w:val="center"/>
              </w:trPr>
              <w:tc>
                <w:tcPr>
                  <w:tcW w:w="4675" w:type="dxa"/>
                </w:tcPr>
                <w:p w14:paraId="53535500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Prior to Smart Start,</w:t>
                  </w:r>
                </w:p>
                <w:p w14:paraId="3EF0C2C8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9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Select 5 charts for the review</w:t>
                  </w:r>
                </w:p>
                <w:p w14:paraId="356D4E12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9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Print the data collection template</w:t>
                  </w:r>
                </w:p>
                <w:p w14:paraId="3D58D318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At Smart Start</w:t>
                  </w:r>
                  <w:r>
                    <w:rPr>
                      <w:rFonts w:cstheme="minorHAnsi"/>
                      <w:sz w:val="20"/>
                      <w:szCs w:val="20"/>
                    </w:rPr>
                    <w:t>,</w:t>
                  </w:r>
                </w:p>
                <w:p w14:paraId="13A70F4C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4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Gather the group in a conference room for the review</w:t>
                  </w:r>
                </w:p>
                <w:p w14:paraId="0B028658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4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Distribute the charts &amp; template to the participants for “hands-on” review</w:t>
                  </w:r>
                </w:p>
                <w:p w14:paraId="7AE88621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4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Guide the participants through the chart review</w:t>
                  </w:r>
                </w:p>
                <w:p w14:paraId="456E879D" w14:textId="77777777" w:rsidR="008930FD" w:rsidRPr="00FE4C4D" w:rsidRDefault="008930FD" w:rsidP="008930FD">
                  <w:pPr>
                    <w:pStyle w:val="ListParagraph"/>
                    <w:numPr>
                      <w:ilvl w:val="2"/>
                      <w:numId w:val="10"/>
                    </w:numPr>
                    <w:ind w:left="878" w:hanging="36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Assign roles and responsibilities (who captures data from which chart, for example)</w:t>
                  </w:r>
                </w:p>
                <w:p w14:paraId="3C5573F8" w14:textId="77777777" w:rsidR="008930FD" w:rsidRPr="00FE4C4D" w:rsidRDefault="008930FD" w:rsidP="008930FD">
                  <w:pPr>
                    <w:pStyle w:val="ListParagraph"/>
                    <w:numPr>
                      <w:ilvl w:val="2"/>
                      <w:numId w:val="10"/>
                    </w:numPr>
                    <w:ind w:left="878" w:hanging="36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Facilitate the report back to the entire group</w:t>
                  </w:r>
                </w:p>
                <w:p w14:paraId="354EB415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4"/>
                    </w:numPr>
                    <w:ind w:left="338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Debrief the chart review process, asking the participants to reflect on the experience (use of data versus “feelings”)</w:t>
                  </w:r>
                </w:p>
              </w:tc>
              <w:tc>
                <w:tcPr>
                  <w:tcW w:w="4675" w:type="dxa"/>
                </w:tcPr>
                <w:p w14:paraId="275F4BF1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 xml:space="preserve">Prior to Smart Start, </w:t>
                  </w:r>
                </w:p>
                <w:p w14:paraId="0DF12CE1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Select 5 charts for review</w:t>
                  </w:r>
                </w:p>
                <w:p w14:paraId="78535C6C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Print the data collection template</w:t>
                  </w:r>
                </w:p>
                <w:p w14:paraId="310D8D47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Complete chart review and capture data on the template</w:t>
                  </w:r>
                </w:p>
                <w:p w14:paraId="6FF1A1F3" w14:textId="77777777" w:rsidR="008930FD" w:rsidRPr="00FE4C4D" w:rsidRDefault="008930FD" w:rsidP="00BA3BD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At Smart Start</w:t>
                  </w:r>
                  <w:r>
                    <w:rPr>
                      <w:rFonts w:cstheme="minorHAnsi"/>
                      <w:sz w:val="20"/>
                      <w:szCs w:val="20"/>
                    </w:rPr>
                    <w:t>,</w:t>
                  </w:r>
                </w:p>
                <w:p w14:paraId="23DEDA38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Facilitate a discussion of the Chart Review Tool</w:t>
                  </w:r>
                </w:p>
                <w:p w14:paraId="37666266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Share the data collected</w:t>
                  </w:r>
                </w:p>
                <w:p w14:paraId="6DD9A48A" w14:textId="77777777" w:rsidR="008930FD" w:rsidRPr="00FE4C4D" w:rsidRDefault="008930FD" w:rsidP="008930FD">
                  <w:pPr>
                    <w:pStyle w:val="ListParagraph"/>
                    <w:numPr>
                      <w:ilvl w:val="1"/>
                      <w:numId w:val="5"/>
                    </w:numPr>
                    <w:ind w:left="459" w:hanging="270"/>
                    <w:rPr>
                      <w:rFonts w:cstheme="minorHAnsi"/>
                      <w:sz w:val="20"/>
                      <w:szCs w:val="20"/>
                    </w:rPr>
                  </w:pPr>
                  <w:r w:rsidRPr="00FE4C4D">
                    <w:rPr>
                      <w:rFonts w:cstheme="minorHAnsi"/>
                      <w:sz w:val="20"/>
                      <w:szCs w:val="20"/>
                    </w:rPr>
                    <w:t>Debrief the chart review process, asking the participants to reflect on the experience (use of data versus “feelings”)</w:t>
                  </w:r>
                </w:p>
              </w:tc>
            </w:tr>
          </w:tbl>
          <w:p w14:paraId="3EB57F49" w14:textId="77777777" w:rsidR="008930FD" w:rsidRPr="00FE4C4D" w:rsidRDefault="008930FD" w:rsidP="00BA3BDC">
            <w:pPr>
              <w:rPr>
                <w:sz w:val="18"/>
              </w:rPr>
            </w:pPr>
          </w:p>
          <w:p w14:paraId="53E0E20B" w14:textId="77777777" w:rsidR="008930FD" w:rsidRPr="003B2BDF" w:rsidRDefault="008930FD" w:rsidP="00BA3BDC"/>
        </w:tc>
      </w:tr>
    </w:tbl>
    <w:p w14:paraId="18C7609F" w14:textId="77777777" w:rsidR="008930FD" w:rsidRDefault="008930FD" w:rsidP="008930FD">
      <w:pPr>
        <w:rPr>
          <w:rFonts w:cstheme="minorHAnsi"/>
        </w:rPr>
      </w:pPr>
    </w:p>
    <w:p w14:paraId="33D26FEE" w14:textId="77777777" w:rsidR="008930FD" w:rsidRPr="00D221C5" w:rsidRDefault="008930FD" w:rsidP="008930FD">
      <w:pPr>
        <w:rPr>
          <w:rFonts w:cstheme="minorHAnsi"/>
        </w:rPr>
      </w:pPr>
      <w:r w:rsidRPr="00D221C5">
        <w:rPr>
          <w:rFonts w:cstheme="minorHAnsi"/>
          <w:b/>
          <w:bCs/>
        </w:rPr>
        <w:t>Template:</w:t>
      </w:r>
    </w:p>
    <w:p w14:paraId="2B1CD1D5" w14:textId="77777777" w:rsidR="008930FD" w:rsidRPr="00FE4C4D" w:rsidRDefault="008930FD" w:rsidP="008930FD">
      <w:pPr>
        <w:pStyle w:val="ListParagraph"/>
        <w:numPr>
          <w:ilvl w:val="0"/>
          <w:numId w:val="1"/>
        </w:numPr>
        <w:rPr>
          <w:rFonts w:cstheme="minorHAnsi"/>
        </w:rPr>
      </w:pPr>
      <w:r w:rsidRPr="00FE4C4D">
        <w:rPr>
          <w:rFonts w:cstheme="minorHAnsi"/>
          <w:noProof/>
        </w:rPr>
        <w:t>Chart Review Template</w:t>
      </w:r>
    </w:p>
    <w:p w14:paraId="0BAAA017" w14:textId="77777777" w:rsidR="008930FD" w:rsidRPr="00D221C5" w:rsidRDefault="008930FD" w:rsidP="008930FD">
      <w:pPr>
        <w:rPr>
          <w:rFonts w:cstheme="minorHAnsi"/>
        </w:rPr>
      </w:pPr>
    </w:p>
    <w:p w14:paraId="2BCC3F50" w14:textId="77777777" w:rsidR="008930FD" w:rsidRPr="00D221C5" w:rsidRDefault="008930FD" w:rsidP="008930FD">
      <w:pPr>
        <w:rPr>
          <w:rFonts w:cstheme="minorHAnsi"/>
          <w:b/>
        </w:rPr>
      </w:pPr>
      <w:r w:rsidRPr="00D221C5">
        <w:rPr>
          <w:rFonts w:cstheme="minorHAnsi"/>
          <w:b/>
        </w:rPr>
        <w:t>Related Tools:</w:t>
      </w:r>
    </w:p>
    <w:p w14:paraId="55A5B94D" w14:textId="77777777" w:rsidR="008930FD" w:rsidRPr="00D221C5" w:rsidRDefault="008930FD" w:rsidP="008930FD">
      <w:pPr>
        <w:pStyle w:val="ListParagraph"/>
        <w:numPr>
          <w:ilvl w:val="0"/>
          <w:numId w:val="2"/>
        </w:numPr>
        <w:rPr>
          <w:rFonts w:cstheme="minorHAnsi"/>
        </w:rPr>
      </w:pPr>
      <w:r w:rsidRPr="00D221C5">
        <w:rPr>
          <w:rFonts w:cstheme="minorHAnsi"/>
        </w:rPr>
        <w:t xml:space="preserve">Process Mapping </w:t>
      </w:r>
      <w:r>
        <w:rPr>
          <w:rFonts w:cstheme="minorHAnsi"/>
        </w:rPr>
        <w:t>(</w:t>
      </w:r>
      <w:r w:rsidRPr="00D221C5">
        <w:rPr>
          <w:rFonts w:cstheme="minorHAnsi"/>
        </w:rPr>
        <w:t xml:space="preserve">2-Day </w:t>
      </w:r>
      <w:r>
        <w:rPr>
          <w:rFonts w:cstheme="minorHAnsi"/>
        </w:rPr>
        <w:t>o</w:t>
      </w:r>
      <w:r w:rsidRPr="00D221C5">
        <w:rPr>
          <w:rFonts w:cstheme="minorHAnsi"/>
        </w:rPr>
        <w:t>n</w:t>
      </w:r>
      <w:r>
        <w:rPr>
          <w:rFonts w:cstheme="minorHAnsi"/>
        </w:rPr>
        <w:t>-</w:t>
      </w:r>
      <w:r w:rsidRPr="00D221C5">
        <w:rPr>
          <w:rFonts w:cstheme="minorHAnsi"/>
        </w:rPr>
        <w:t>site Smart Start</w:t>
      </w:r>
      <w:r>
        <w:rPr>
          <w:rFonts w:cstheme="minorHAnsi"/>
        </w:rPr>
        <w:t>)</w:t>
      </w:r>
    </w:p>
    <w:p w14:paraId="51C2A5A0" w14:textId="77777777" w:rsidR="008930FD" w:rsidRPr="00D221C5" w:rsidRDefault="008930FD" w:rsidP="008930FD">
      <w:pPr>
        <w:pStyle w:val="ListParagraph"/>
        <w:numPr>
          <w:ilvl w:val="0"/>
          <w:numId w:val="2"/>
        </w:numPr>
        <w:rPr>
          <w:rFonts w:cstheme="minorHAnsi"/>
        </w:rPr>
      </w:pPr>
      <w:r w:rsidRPr="00D221C5">
        <w:rPr>
          <w:rFonts w:cstheme="minorHAnsi"/>
        </w:rPr>
        <w:t>Pareto Chart</w:t>
      </w:r>
    </w:p>
    <w:p w14:paraId="3358BF1F" w14:textId="77777777" w:rsidR="008930FD" w:rsidRPr="00D221C5" w:rsidRDefault="008930FD" w:rsidP="008930FD">
      <w:pPr>
        <w:rPr>
          <w:rFonts w:cstheme="minorHAnsi"/>
        </w:rPr>
      </w:pPr>
    </w:p>
    <w:p w14:paraId="6EA8D37D" w14:textId="77777777" w:rsidR="008930FD" w:rsidRPr="00D221C5" w:rsidRDefault="008930FD" w:rsidP="008930FD">
      <w:pPr>
        <w:rPr>
          <w:rFonts w:cstheme="minorHAnsi"/>
          <w:b/>
        </w:rPr>
      </w:pPr>
      <w:r w:rsidRPr="00D221C5">
        <w:rPr>
          <w:rFonts w:cstheme="minorHAnsi"/>
          <w:b/>
        </w:rPr>
        <w:t>Resources:</w:t>
      </w:r>
    </w:p>
    <w:p w14:paraId="5DC64A56" w14:textId="77777777" w:rsidR="008930FD" w:rsidRDefault="008930FD" w:rsidP="008930FD">
      <w:pPr>
        <w:rPr>
          <w:rFonts w:cstheme="minorHAnsi"/>
        </w:rPr>
      </w:pPr>
      <w:r w:rsidRPr="00D221C5">
        <w:rPr>
          <w:rFonts w:cstheme="minorHAnsi"/>
        </w:rPr>
        <w:t>Agency for Healthcare Research and Quality (AHRQ) – Module 8: Collecting Data with Chart Audits</w:t>
      </w:r>
    </w:p>
    <w:p w14:paraId="1B1E9CB0" w14:textId="77777777" w:rsidR="008930FD" w:rsidRPr="00D221C5" w:rsidRDefault="008930FD" w:rsidP="008930FD">
      <w:pPr>
        <w:rPr>
          <w:rFonts w:cstheme="minorHAnsi"/>
        </w:rPr>
      </w:pPr>
    </w:p>
    <w:p w14:paraId="006DBE72" w14:textId="77777777" w:rsidR="008930FD" w:rsidRDefault="00EA227C" w:rsidP="008930FD">
      <w:pPr>
        <w:rPr>
          <w:rStyle w:val="Hyperlink"/>
          <w:rFonts w:cstheme="minorHAnsi"/>
        </w:rPr>
      </w:pPr>
      <w:hyperlink r:id="rId10" w:history="1">
        <w:r w:rsidR="008930FD" w:rsidRPr="00D221C5">
          <w:rPr>
            <w:rStyle w:val="Hyperlink"/>
            <w:rFonts w:cstheme="minorHAnsi"/>
          </w:rPr>
          <w:t>https://www.ahrq.gov/ncepcr/tools/pf-handbook/mod8.html</w:t>
        </w:r>
      </w:hyperlink>
    </w:p>
    <w:p w14:paraId="0D2FB8DD" w14:textId="77777777" w:rsidR="008930FD" w:rsidRDefault="008930FD" w:rsidP="008930FD">
      <w:pPr>
        <w:rPr>
          <w:rFonts w:cstheme="minorHAnsi"/>
        </w:rPr>
      </w:pPr>
    </w:p>
    <w:p w14:paraId="7AD3B885" w14:textId="77777777" w:rsidR="008930FD" w:rsidRDefault="008930FD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75AC18A" w14:textId="77777777" w:rsidR="008930FD" w:rsidRDefault="008930FD" w:rsidP="008930FD">
      <w:pPr>
        <w:rPr>
          <w:rFonts w:cstheme="minorHAnsi"/>
        </w:rPr>
      </w:pPr>
    </w:p>
    <w:p w14:paraId="5FBF86B3" w14:textId="77777777" w:rsidR="008930FD" w:rsidRPr="00773DE7" w:rsidRDefault="008930FD" w:rsidP="008930FD">
      <w:pPr>
        <w:spacing w:after="120"/>
        <w:jc w:val="center"/>
        <w:rPr>
          <w:rFonts w:cstheme="minorHAnsi"/>
          <w:b/>
          <w:sz w:val="32"/>
        </w:rPr>
      </w:pPr>
      <w:r w:rsidRPr="00773DE7">
        <w:rPr>
          <w:rFonts w:cstheme="minorHAnsi"/>
          <w:b/>
          <w:sz w:val="32"/>
        </w:rPr>
        <w:t>Chart Review Example</w:t>
      </w:r>
    </w:p>
    <w:p w14:paraId="519F6A60" w14:textId="77777777" w:rsidR="008930FD" w:rsidRPr="001F3415" w:rsidRDefault="008930FD" w:rsidP="008930FD">
      <w:pPr>
        <w:spacing w:before="240" w:after="240"/>
        <w:jc w:val="center"/>
        <w:rPr>
          <w:rFonts w:cstheme="minorHAnsi"/>
          <w:sz w:val="28"/>
        </w:rPr>
      </w:pPr>
      <w:r w:rsidRPr="001F3415">
        <w:rPr>
          <w:rFonts w:cstheme="minorHAnsi"/>
          <w:bCs/>
          <w:sz w:val="28"/>
        </w:rPr>
        <w:t xml:space="preserve">4/5 </w:t>
      </w:r>
      <w:r>
        <w:rPr>
          <w:rFonts w:cstheme="minorHAnsi"/>
          <w:bCs/>
          <w:sz w:val="28"/>
        </w:rPr>
        <w:t xml:space="preserve">(80%) </w:t>
      </w:r>
      <w:r w:rsidRPr="001F3415">
        <w:rPr>
          <w:rFonts w:cstheme="minorHAnsi"/>
          <w:bCs/>
          <w:sz w:val="28"/>
        </w:rPr>
        <w:t>patients</w:t>
      </w:r>
      <w:r w:rsidRPr="001F3415">
        <w:rPr>
          <w:rFonts w:cstheme="minorHAnsi"/>
          <w:sz w:val="28"/>
        </w:rPr>
        <w:t xml:space="preserve"> did not have high </w:t>
      </w:r>
      <w:r>
        <w:rPr>
          <w:rFonts w:cstheme="minorHAnsi"/>
          <w:sz w:val="28"/>
        </w:rPr>
        <w:t>viral load</w:t>
      </w:r>
      <w:r w:rsidRPr="001F3415">
        <w:rPr>
          <w:rFonts w:cstheme="minorHAnsi"/>
          <w:sz w:val="28"/>
        </w:rPr>
        <w:t xml:space="preserve"> follow</w:t>
      </w:r>
      <w:r>
        <w:rPr>
          <w:rFonts w:cstheme="minorHAnsi"/>
          <w:sz w:val="28"/>
        </w:rPr>
        <w:t>-</w:t>
      </w:r>
      <w:r w:rsidRPr="001F3415">
        <w:rPr>
          <w:rFonts w:cstheme="minorHAnsi"/>
          <w:sz w:val="28"/>
        </w:rPr>
        <w:t>up per country algorithm</w:t>
      </w:r>
    </w:p>
    <w:tbl>
      <w:tblPr>
        <w:tblW w:w="1036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3"/>
        <w:gridCol w:w="1886"/>
        <w:gridCol w:w="2904"/>
        <w:gridCol w:w="2312"/>
        <w:gridCol w:w="2003"/>
      </w:tblGrid>
      <w:tr w:rsidR="008930FD" w:rsidRPr="00773DE7" w14:paraId="67B9F6B2" w14:textId="77777777" w:rsidTr="00BA3BDC">
        <w:trPr>
          <w:jc w:val="center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0CD8C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A6A8B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VL Result / Date Validated</w:t>
            </w:r>
          </w:p>
        </w:tc>
        <w:tc>
          <w:tcPr>
            <w:tcW w:w="29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64BE8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Clinic Visits / Adherence% /</w:t>
            </w:r>
          </w:p>
          <w:p w14:paraId="57CAF552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Drug Supply</w:t>
            </w:r>
          </w:p>
        </w:tc>
        <w:tc>
          <w:tcPr>
            <w:tcW w:w="23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2362A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IAC</w:t>
            </w:r>
          </w:p>
        </w:tc>
        <w:tc>
          <w:tcPr>
            <w:tcW w:w="20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4A7E6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b/>
                <w:bCs/>
                <w:sz w:val="20"/>
                <w:szCs w:val="20"/>
              </w:rPr>
              <w:t>VL #2</w:t>
            </w:r>
          </w:p>
        </w:tc>
      </w:tr>
      <w:tr w:rsidR="008930FD" w:rsidRPr="00773DE7" w14:paraId="58CCCF96" w14:textId="77777777" w:rsidTr="00BA3BDC">
        <w:trPr>
          <w:jc w:val="center"/>
        </w:trPr>
        <w:tc>
          <w:tcPr>
            <w:tcW w:w="1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A0A31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5D97D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1,653 copies</w:t>
            </w:r>
          </w:p>
          <w:p w14:paraId="72954229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17 Aug 2015</w:t>
            </w:r>
          </w:p>
        </w:tc>
        <w:tc>
          <w:tcPr>
            <w:tcW w:w="29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8101C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EEDB2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1923D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5 Jan 2017</w:t>
            </w:r>
          </w:p>
          <w:p w14:paraId="4634206D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No Result</w:t>
            </w:r>
          </w:p>
        </w:tc>
      </w:tr>
      <w:tr w:rsidR="008930FD" w:rsidRPr="00773DE7" w14:paraId="49182134" w14:textId="77777777" w:rsidTr="00BA3BDC">
        <w:trPr>
          <w:jc w:val="center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48D1A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5EF98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223,888 copies</w:t>
            </w:r>
          </w:p>
          <w:p w14:paraId="54256931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 xml:space="preserve">10 Mar 2016 (C) 9 May 2016 (V) </w:t>
            </w:r>
          </w:p>
        </w:tc>
        <w:tc>
          <w:tcPr>
            <w:tcW w:w="2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167E0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16 Jun 2016 / 93% / 3 mo.</w:t>
            </w:r>
          </w:p>
          <w:p w14:paraId="7A3AC580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29 Sep 2016 / 85% / 3 mo.</w:t>
            </w:r>
          </w:p>
          <w:p w14:paraId="3BB7CA7E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29 Dec 2016 / 101% / 3 mo.</w:t>
            </w:r>
          </w:p>
        </w:tc>
        <w:tc>
          <w:tcPr>
            <w:tcW w:w="2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01B84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 xml:space="preserve">IAC #1 </w:t>
            </w:r>
            <w:r w:rsidRPr="00773DE7">
              <w:rPr>
                <w:rFonts w:cstheme="minorHAnsi"/>
                <w:sz w:val="20"/>
                <w:szCs w:val="20"/>
                <w:cs/>
                <w:lang w:bidi="mr-IN"/>
              </w:rPr>
              <w:t>–</w:t>
            </w:r>
            <w:r w:rsidRPr="00773DE7">
              <w:rPr>
                <w:rFonts w:cstheme="minorHAnsi"/>
                <w:sz w:val="20"/>
                <w:szCs w:val="20"/>
              </w:rPr>
              <w:t xml:space="preserve"> 23 Mar 2017</w:t>
            </w:r>
          </w:p>
        </w:tc>
        <w:tc>
          <w:tcPr>
            <w:tcW w:w="2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C6553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30FD" w:rsidRPr="00773DE7" w14:paraId="7A5567FB" w14:textId="77777777" w:rsidTr="00BA3BDC">
        <w:trPr>
          <w:jc w:val="center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EB211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1F869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6,588 copies</w:t>
            </w:r>
          </w:p>
          <w:p w14:paraId="4763C3DD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2 Nov 2016</w:t>
            </w:r>
          </w:p>
        </w:tc>
        <w:tc>
          <w:tcPr>
            <w:tcW w:w="2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DC874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FFBCE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BFCBC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5 Jan 2017</w:t>
            </w:r>
          </w:p>
          <w:p w14:paraId="70AB652D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No Result</w:t>
            </w:r>
          </w:p>
        </w:tc>
      </w:tr>
      <w:tr w:rsidR="008930FD" w:rsidRPr="00773DE7" w14:paraId="530540BA" w14:textId="77777777" w:rsidTr="00BA3BDC">
        <w:trPr>
          <w:jc w:val="center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2F31B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53470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82,201 copies</w:t>
            </w:r>
          </w:p>
          <w:p w14:paraId="15A9A088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4 Nov 2016</w:t>
            </w:r>
          </w:p>
        </w:tc>
        <w:tc>
          <w:tcPr>
            <w:tcW w:w="2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02DFE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11FAB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 xml:space="preserve">IAC #1 - 25 Jan 2017 </w:t>
            </w:r>
          </w:p>
          <w:p w14:paraId="3DD8DE61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 xml:space="preserve">IAC #2 </w:t>
            </w:r>
            <w:r w:rsidRPr="00773DE7">
              <w:rPr>
                <w:rFonts w:cstheme="minorHAnsi"/>
                <w:sz w:val="20"/>
                <w:szCs w:val="20"/>
                <w:cs/>
                <w:lang w:bidi="mr-IN"/>
              </w:rPr>
              <w:t>–</w:t>
            </w:r>
            <w:r w:rsidRPr="00773DE7">
              <w:rPr>
                <w:rFonts w:cstheme="minorHAnsi"/>
                <w:sz w:val="20"/>
                <w:szCs w:val="20"/>
              </w:rPr>
              <w:t xml:space="preserve"> 15 Feb 2017</w:t>
            </w:r>
          </w:p>
          <w:p w14:paraId="43D8016F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 xml:space="preserve">IAC #3 </w:t>
            </w:r>
            <w:r w:rsidRPr="00773DE7">
              <w:rPr>
                <w:rFonts w:cstheme="minorHAnsi"/>
                <w:sz w:val="20"/>
                <w:szCs w:val="20"/>
                <w:cs/>
                <w:lang w:bidi="mr-IN"/>
              </w:rPr>
              <w:t>–</w:t>
            </w:r>
            <w:r w:rsidRPr="00773DE7">
              <w:rPr>
                <w:rFonts w:cstheme="minorHAnsi"/>
                <w:sz w:val="20"/>
                <w:szCs w:val="20"/>
              </w:rPr>
              <w:t xml:space="preserve"> 15 Mar 2017</w:t>
            </w:r>
          </w:p>
        </w:tc>
        <w:tc>
          <w:tcPr>
            <w:tcW w:w="2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BE321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Drawn 12 April 2017</w:t>
            </w:r>
          </w:p>
        </w:tc>
      </w:tr>
      <w:tr w:rsidR="008930FD" w:rsidRPr="00773DE7" w14:paraId="714CEAC3" w14:textId="77777777" w:rsidTr="00BA3BDC">
        <w:trPr>
          <w:jc w:val="center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11450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4F463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17,863 copies</w:t>
            </w:r>
          </w:p>
          <w:p w14:paraId="39E06410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28 Feb 2017</w:t>
            </w:r>
          </w:p>
        </w:tc>
        <w:tc>
          <w:tcPr>
            <w:tcW w:w="2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B9B71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sz w:val="20"/>
                <w:szCs w:val="20"/>
              </w:rPr>
              <w:t>16 Feb 2017 / 96% / 3 mo.</w:t>
            </w:r>
          </w:p>
        </w:tc>
        <w:tc>
          <w:tcPr>
            <w:tcW w:w="2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731E3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CAC6" w14:textId="77777777" w:rsidR="008930FD" w:rsidRPr="00773DE7" w:rsidRDefault="008930FD" w:rsidP="00BA3B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D73D11" w14:textId="77777777" w:rsidR="008930FD" w:rsidRPr="00773DE7" w:rsidRDefault="008930FD" w:rsidP="008930FD">
      <w:pPr>
        <w:rPr>
          <w:rFonts w:cstheme="minorHAnsi"/>
          <w:bCs/>
          <w:sz w:val="20"/>
        </w:rPr>
      </w:pPr>
      <w:r w:rsidRPr="00773DE7">
        <w:rPr>
          <w:rFonts w:cstheme="minorHAnsi"/>
          <w:bCs/>
          <w:sz w:val="20"/>
        </w:rPr>
        <w:t>C = Sample Collected, V = Sample Validated by Laboratory</w:t>
      </w:r>
    </w:p>
    <w:p w14:paraId="124E8354" w14:textId="77777777" w:rsidR="008930FD" w:rsidRDefault="008930FD" w:rsidP="008930FD">
      <w:pPr>
        <w:rPr>
          <w:rFonts w:cstheme="minorHAnsi"/>
          <w:b/>
          <w:bCs/>
        </w:rPr>
      </w:pPr>
    </w:p>
    <w:p w14:paraId="6910F24C" w14:textId="77777777" w:rsidR="008930FD" w:rsidRDefault="008930FD" w:rsidP="008930FD">
      <w:pPr>
        <w:rPr>
          <w:rFonts w:cstheme="minorHAnsi"/>
        </w:rPr>
      </w:pPr>
      <w:r>
        <w:rPr>
          <w:rFonts w:cstheme="minorHAnsi"/>
        </w:rPr>
        <w:br w:type="page"/>
      </w:r>
    </w:p>
    <w:p w14:paraId="4A2C4412" w14:textId="77777777" w:rsidR="008930FD" w:rsidRDefault="008930FD" w:rsidP="008930FD">
      <w:pPr>
        <w:jc w:val="center"/>
        <w:rPr>
          <w:rFonts w:cstheme="minorHAnsi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547CB954" wp14:editId="4FDEBBC2">
            <wp:extent cx="593328" cy="593328"/>
            <wp:effectExtent l="0" t="0" r="0" b="0"/>
            <wp:docPr id="8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DE7">
        <w:rPr>
          <w:rFonts w:cstheme="minorHAnsi"/>
          <w:b/>
          <w:bCs/>
          <w:sz w:val="40"/>
          <w:szCs w:val="40"/>
        </w:rPr>
        <w:t>Chart Review Template</w:t>
      </w:r>
    </w:p>
    <w:p w14:paraId="1F3C470D" w14:textId="77777777" w:rsidR="008930FD" w:rsidRPr="00D221C5" w:rsidRDefault="008930FD" w:rsidP="008930FD">
      <w:pPr>
        <w:jc w:val="center"/>
        <w:rPr>
          <w:rFonts w:cstheme="minorHAnsi"/>
        </w:rPr>
      </w:pPr>
      <w:r w:rsidRPr="00773DE7">
        <w:rPr>
          <w:rFonts w:cstheme="minorHAnsi"/>
        </w:rPr>
        <w:t xml:space="preserve">Viral Load Cascade </w:t>
      </w:r>
      <w:r w:rsidRPr="00773DE7">
        <w:rPr>
          <w:rFonts w:cstheme="minorHAnsi"/>
          <w:cs/>
          <w:lang w:bidi="mr-IN"/>
        </w:rPr>
        <w:t>–</w:t>
      </w:r>
      <w:r w:rsidRPr="00773DE7">
        <w:rPr>
          <w:rFonts w:cstheme="minorHAnsi"/>
        </w:rPr>
        <w:t xml:space="preserve"> Result Reporting &amp; Patient Management</w:t>
      </w:r>
    </w:p>
    <w:p w14:paraId="667E6F66" w14:textId="77777777" w:rsidR="008930FD" w:rsidRDefault="008930FD" w:rsidP="008930FD">
      <w:pPr>
        <w:rPr>
          <w:rFonts w:cstheme="minorHAnsi"/>
          <w:b/>
        </w:rPr>
      </w:pPr>
    </w:p>
    <w:p w14:paraId="1B84864E" w14:textId="77777777" w:rsidR="008930FD" w:rsidRDefault="008930FD" w:rsidP="008930FD">
      <w:pPr>
        <w:rPr>
          <w:rFonts w:cstheme="minorHAnsi"/>
          <w:b/>
        </w:rPr>
      </w:pPr>
    </w:p>
    <w:tbl>
      <w:tblPr>
        <w:tblStyle w:val="GridTable1Light-Accent3"/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116"/>
        <w:gridCol w:w="1131"/>
        <w:gridCol w:w="1147"/>
        <w:gridCol w:w="1137"/>
        <w:gridCol w:w="1112"/>
        <w:gridCol w:w="1112"/>
        <w:gridCol w:w="1112"/>
        <w:gridCol w:w="1131"/>
        <w:gridCol w:w="1370"/>
      </w:tblGrid>
      <w:tr w:rsidR="008930FD" w:rsidRPr="00773DE7" w14:paraId="5D718CF0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4621278A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Patient #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00F6C4BC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VL #1 ordered / drawn date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15E60D7B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Date VL returned to chart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359FEF78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Date VL noted by clinician / action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53B28E05" w14:textId="77777777" w:rsidR="008930FD" w:rsidRPr="00773DE7" w:rsidRDefault="008930FD" w:rsidP="00BA3BD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IAC/EAC</w:t>
            </w:r>
          </w:p>
          <w:p w14:paraId="03FF39A0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#1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71526080" w14:textId="77777777" w:rsidR="008930FD" w:rsidRPr="00773DE7" w:rsidRDefault="008930FD" w:rsidP="00BA3BD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IAC/EAC</w:t>
            </w:r>
          </w:p>
          <w:p w14:paraId="004D033E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#2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25821500" w14:textId="77777777" w:rsidR="008930FD" w:rsidRPr="00773DE7" w:rsidRDefault="008930FD" w:rsidP="00BA3BD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IAC/EAC</w:t>
            </w:r>
          </w:p>
          <w:p w14:paraId="0A6C72AD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#3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7D781842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VL #2 ordered / drawn date</w:t>
            </w:r>
          </w:p>
        </w:tc>
        <w:tc>
          <w:tcPr>
            <w:tcW w:w="1152" w:type="dxa"/>
            <w:tcBorders>
              <w:bottom w:val="none" w:sz="0" w:space="0" w:color="auto"/>
            </w:tcBorders>
            <w:hideMark/>
          </w:tcPr>
          <w:p w14:paraId="03478BC6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Is VL suppressed?</w:t>
            </w:r>
          </w:p>
          <w:p w14:paraId="6AC9DEB4" w14:textId="77777777" w:rsidR="008930FD" w:rsidRPr="00773DE7" w:rsidRDefault="008930FD" w:rsidP="00BA3B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E7">
              <w:rPr>
                <w:rFonts w:cstheme="minorHAnsi"/>
                <w:caps/>
                <w:sz w:val="20"/>
                <w:szCs w:val="20"/>
              </w:rPr>
              <w:t>/ action</w:t>
            </w:r>
          </w:p>
        </w:tc>
      </w:tr>
      <w:tr w:rsidR="008930FD" w:rsidRPr="00773DE7" w14:paraId="787B7813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6838B32B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23E6C9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FD97D68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5ACC55E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701C5EAB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B68B6D1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B3A2A98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180EBAD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9DE1940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0FD" w:rsidRPr="00773DE7" w14:paraId="0C1800ED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33BA6A36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1897675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1921C00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3D49205D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396B6CFF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9414AFA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8E63895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31564DB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6CAC5ED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0FD" w:rsidRPr="00773DE7" w14:paraId="397BC2B3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0FE836D4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5A8C155E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B1C9363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24F0772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CDD6905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512BF07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B37640F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3706583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973C5E6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0FD" w:rsidRPr="00773DE7" w14:paraId="68119411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5BE92511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A3FE76D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09E09CE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9EAE911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73FC2B15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C0DB2C6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490305F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A9C6934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6D7CCEA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0FD" w:rsidRPr="00773DE7" w14:paraId="03791B9E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056A4C7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5A04F1A2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AB6C3B9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07F4AF4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E6B35B3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1F803AD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2B1A9B0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4C7945E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79392F2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0FD" w:rsidRPr="00773DE7" w14:paraId="109CF14D" w14:textId="77777777" w:rsidTr="00BA3BDC">
        <w:trPr>
          <w:trHeight w:val="850"/>
          <w:jc w:val="center"/>
        </w:trPr>
        <w:tc>
          <w:tcPr>
            <w:tcW w:w="1152" w:type="dxa"/>
            <w:hideMark/>
          </w:tcPr>
          <w:p w14:paraId="58253DB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7BE3E20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8620985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7414207C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32F27D6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3182113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4FB991B2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D17318F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DD507E7" w14:textId="77777777" w:rsidR="008930FD" w:rsidRPr="00773DE7" w:rsidRDefault="008930FD" w:rsidP="00BA3B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E1DC47" w14:textId="77777777" w:rsidR="008930FD" w:rsidRDefault="008930FD" w:rsidP="008930FD">
      <w:pPr>
        <w:rPr>
          <w:rFonts w:cstheme="minorHAnsi"/>
          <w:b/>
        </w:rPr>
      </w:pPr>
    </w:p>
    <w:p w14:paraId="46CC90AB" w14:textId="77777777" w:rsidR="00AC11D8" w:rsidRDefault="00AC11D8"/>
    <w:sectPr w:rsidR="00AC11D8" w:rsidSect="008930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0346" w14:textId="77777777" w:rsidR="008930FD" w:rsidRDefault="008930FD" w:rsidP="008930FD">
      <w:r>
        <w:separator/>
      </w:r>
    </w:p>
  </w:endnote>
  <w:endnote w:type="continuationSeparator" w:id="0">
    <w:p w14:paraId="0809CAE2" w14:textId="77777777" w:rsidR="008930FD" w:rsidRDefault="008930FD" w:rsidP="0089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DF13E" w14:textId="77777777" w:rsidR="00EA227C" w:rsidRDefault="00EA2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B1EB" w14:textId="77777777" w:rsidR="008930FD" w:rsidRDefault="008930FD" w:rsidP="00EA227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8930FD">
      <w:t>Chart Review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3E20" w14:textId="77777777" w:rsidR="00EA227C" w:rsidRDefault="00EA2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DF10" w14:textId="77777777" w:rsidR="008930FD" w:rsidRDefault="008930FD" w:rsidP="008930FD">
      <w:r>
        <w:separator/>
      </w:r>
    </w:p>
  </w:footnote>
  <w:footnote w:type="continuationSeparator" w:id="0">
    <w:p w14:paraId="3ED83B01" w14:textId="77777777" w:rsidR="008930FD" w:rsidRDefault="008930FD" w:rsidP="0089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A7CC" w14:textId="77777777" w:rsidR="00EA227C" w:rsidRDefault="00EA2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450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AA643C" w14:textId="77777777" w:rsidR="008930FD" w:rsidRDefault="008930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0D7B" w14:textId="77777777" w:rsidR="00EA227C" w:rsidRDefault="00EA2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7A09"/>
    <w:multiLevelType w:val="hybridMultilevel"/>
    <w:tmpl w:val="F00C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38F2"/>
    <w:multiLevelType w:val="hybridMultilevel"/>
    <w:tmpl w:val="283E2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1A3"/>
    <w:multiLevelType w:val="hybridMultilevel"/>
    <w:tmpl w:val="6FE4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B1596"/>
    <w:multiLevelType w:val="hybridMultilevel"/>
    <w:tmpl w:val="82382786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59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3C635F4B"/>
    <w:multiLevelType w:val="hybridMultilevel"/>
    <w:tmpl w:val="2E862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5072D"/>
    <w:multiLevelType w:val="hybridMultilevel"/>
    <w:tmpl w:val="ECEEF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6397B"/>
    <w:multiLevelType w:val="hybridMultilevel"/>
    <w:tmpl w:val="D73EE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57C0"/>
    <w:multiLevelType w:val="hybridMultilevel"/>
    <w:tmpl w:val="35B0FB6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C6D10FC"/>
    <w:multiLevelType w:val="hybridMultilevel"/>
    <w:tmpl w:val="77E4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72071"/>
    <w:multiLevelType w:val="hybridMultilevel"/>
    <w:tmpl w:val="A8764414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D"/>
    <w:rsid w:val="008930FD"/>
    <w:rsid w:val="00AC11D8"/>
    <w:rsid w:val="00E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CDD053"/>
  <w15:chartTrackingRefBased/>
  <w15:docId w15:val="{4CF7964B-5C53-4874-BD30-1D96E4EE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F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0FD"/>
    <w:pPr>
      <w:ind w:left="720"/>
      <w:contextualSpacing/>
    </w:pPr>
  </w:style>
  <w:style w:type="table" w:styleId="TableGrid">
    <w:name w:val="Table Grid"/>
    <w:basedOn w:val="TableNormal"/>
    <w:uiPriority w:val="39"/>
    <w:rsid w:val="008930F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0FD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8930F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8930F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93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0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hrq.gov/ncepcr/tools/pf-handbook/mod8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08CE-45BC-4476-B266-CF9172923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1564A7-2CCD-4DA1-8248-3C19C3ACE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07B36-38F3-43F9-9C4B-2129562B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4567</Characters>
  <Application>Microsoft Office Word</Application>
  <DocSecurity>0</DocSecurity>
  <Lines>38</Lines>
  <Paragraphs>10</Paragraphs>
  <ScaleCrop>false</ScaleCrop>
  <Company>Centers for Disease Control and Prevention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2</cp:revision>
  <dcterms:created xsi:type="dcterms:W3CDTF">2021-01-07T20:52:00Z</dcterms:created>
  <dcterms:modified xsi:type="dcterms:W3CDTF">2021-01-07T21:06:00Z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2021-01-07T20:56:12Z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609493af-6952-49f2-a493-34228c0ee160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